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2F45" w14:textId="77777777" w:rsidR="00542E9D" w:rsidRPr="00542E9D" w:rsidRDefault="00542E9D" w:rsidP="00542E9D">
      <w:pPr>
        <w:numPr>
          <w:ilvl w:val="0"/>
          <w:numId w:val="1"/>
        </w:numPr>
        <w:rPr>
          <w:b/>
          <w:bCs/>
        </w:rPr>
      </w:pPr>
      <w:r w:rsidRPr="00542E9D">
        <w:rPr>
          <w:b/>
          <w:bCs/>
        </w:rPr>
        <w:t>Czas trwania szkolenia: 2–3 dni</w:t>
      </w:r>
    </w:p>
    <w:p w14:paraId="00DD26D6" w14:textId="1A4D856C" w:rsidR="00542E9D" w:rsidRPr="00542E9D" w:rsidRDefault="00542E9D" w:rsidP="00542E9D">
      <w:pPr>
        <w:numPr>
          <w:ilvl w:val="0"/>
          <w:numId w:val="1"/>
        </w:numPr>
        <w:rPr>
          <w:b/>
          <w:bCs/>
        </w:rPr>
      </w:pPr>
      <w:r w:rsidRPr="00542E9D">
        <w:rPr>
          <w:b/>
          <w:bCs/>
        </w:rPr>
        <w:t xml:space="preserve">Preferowany termin: </w:t>
      </w:r>
      <w:r>
        <w:rPr>
          <w:b/>
          <w:bCs/>
        </w:rPr>
        <w:t>czerwiec/lipiec</w:t>
      </w:r>
      <w:r w:rsidR="0044170C">
        <w:rPr>
          <w:b/>
          <w:bCs/>
        </w:rPr>
        <w:t xml:space="preserve"> 2026</w:t>
      </w:r>
    </w:p>
    <w:p w14:paraId="481C38F8" w14:textId="77777777" w:rsidR="00542E9D" w:rsidRDefault="00542E9D" w:rsidP="00F54FDF">
      <w:pPr>
        <w:numPr>
          <w:ilvl w:val="0"/>
          <w:numId w:val="1"/>
        </w:numPr>
        <w:rPr>
          <w:b/>
          <w:bCs/>
        </w:rPr>
      </w:pPr>
      <w:r w:rsidRPr="00542E9D">
        <w:rPr>
          <w:b/>
          <w:bCs/>
        </w:rPr>
        <w:t xml:space="preserve">Forma: </w:t>
      </w:r>
      <w:r>
        <w:rPr>
          <w:b/>
          <w:bCs/>
        </w:rPr>
        <w:t>stacjonarna</w:t>
      </w:r>
      <w:r w:rsidRPr="00542E9D">
        <w:rPr>
          <w:b/>
          <w:bCs/>
        </w:rPr>
        <w:t xml:space="preserve"> </w:t>
      </w:r>
    </w:p>
    <w:p w14:paraId="5ECBC4EB" w14:textId="12079643" w:rsidR="00542E9D" w:rsidRPr="00542E9D" w:rsidRDefault="00542E9D" w:rsidP="00F54FDF">
      <w:pPr>
        <w:numPr>
          <w:ilvl w:val="0"/>
          <w:numId w:val="1"/>
        </w:numPr>
        <w:rPr>
          <w:b/>
          <w:bCs/>
        </w:rPr>
      </w:pPr>
      <w:r w:rsidRPr="00542E9D">
        <w:rPr>
          <w:b/>
          <w:bCs/>
        </w:rPr>
        <w:t xml:space="preserve">Grupa 12 osób </w:t>
      </w:r>
    </w:p>
    <w:p w14:paraId="20A44614" w14:textId="77777777" w:rsidR="00542E9D" w:rsidRDefault="00542E9D" w:rsidP="00F54FDF">
      <w:pPr>
        <w:rPr>
          <w:b/>
          <w:bCs/>
        </w:rPr>
      </w:pPr>
    </w:p>
    <w:p w14:paraId="6BE8DD0D" w14:textId="30935EB0" w:rsidR="00F54FDF" w:rsidRDefault="00F54FDF" w:rsidP="00F54FDF">
      <w:pPr>
        <w:rPr>
          <w:b/>
          <w:bCs/>
        </w:rPr>
      </w:pPr>
      <w:r>
        <w:rPr>
          <w:b/>
          <w:bCs/>
        </w:rPr>
        <w:t xml:space="preserve">Zakres szkolenia </w:t>
      </w:r>
    </w:p>
    <w:p w14:paraId="4FA15B9C" w14:textId="5F752033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1. Fundamenty i strategia cenowa</w:t>
      </w:r>
    </w:p>
    <w:p w14:paraId="7C444C48" w14:textId="77777777" w:rsidR="00F54FDF" w:rsidRPr="00F54FDF" w:rsidRDefault="00F54FDF" w:rsidP="00F54FDF">
      <w:r w:rsidRPr="00F54FDF">
        <w:t>1.1. Zasady spójności polityki cenowej ze strategią marek i portfolio produktowym</w:t>
      </w:r>
      <w:r w:rsidRPr="00F54FDF">
        <w:br/>
        <w:t xml:space="preserve">1.2. </w:t>
      </w:r>
      <w:r w:rsidRPr="00F54FDF">
        <w:rPr>
          <w:lang w:val="en-US"/>
        </w:rPr>
        <w:t>Strategie cenowe: value based pricing, competitive pricing, premium &amp; skimming, economy / penetration</w:t>
      </w:r>
      <w:r w:rsidRPr="00F54FDF">
        <w:rPr>
          <w:lang w:val="en-US"/>
        </w:rPr>
        <w:br/>
        <w:t xml:space="preserve">1.3. </w:t>
      </w:r>
      <w:r w:rsidRPr="00F54FDF">
        <w:t>Cena jako dźwignia wzrostu – wpływ na wyniki finansowe, udział rynkowy i mix produktowy</w:t>
      </w:r>
      <w:r w:rsidRPr="00F54FDF">
        <w:br/>
        <w:t>1.4. Pozycjonowanie cenowe i wpływ ceny na equity marek</w:t>
      </w:r>
    </w:p>
    <w:p w14:paraId="632F5EF0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2. Polityka cenowa – architektura i zasady</w:t>
      </w:r>
    </w:p>
    <w:p w14:paraId="2B5A15E6" w14:textId="77777777" w:rsidR="00F54FDF" w:rsidRPr="00F54FDF" w:rsidRDefault="00F54FDF" w:rsidP="00F54FDF">
      <w:r w:rsidRPr="00F54FDF">
        <w:t>2.1. Kluczowe założenia jakie powinna zawierać polityka cenowa</w:t>
      </w:r>
    </w:p>
    <w:p w14:paraId="3A06E3EF" w14:textId="77777777" w:rsidR="00F54FDF" w:rsidRPr="00F54FDF" w:rsidRDefault="00F54FDF" w:rsidP="00F54FDF">
      <w:r w:rsidRPr="00F54FDF">
        <w:t>2.2. Rola kanałów sprzedaży</w:t>
      </w:r>
      <w:r w:rsidRPr="00F54FDF">
        <w:br/>
        <w:t>2.3. Różnicowanie cen względem segmentów produktowych</w:t>
      </w:r>
      <w:r w:rsidRPr="00F54FDF">
        <w:br/>
        <w:t>2.4. Zarządzanie cyklem życia produktu</w:t>
      </w:r>
      <w:r w:rsidRPr="00F54FDF">
        <w:br/>
        <w:t>2.5. Powiązanie polityki cenowej z dostępnością i łańcuchem dostaw</w:t>
      </w:r>
      <w:r w:rsidRPr="00F54FDF">
        <w:br/>
        <w:t>2.6. Pricing w warunkach zmienności rynkowej</w:t>
      </w:r>
    </w:p>
    <w:p w14:paraId="35631753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3. Governance cenowy (zasady decyzyjne i odpowiedzialności)</w:t>
      </w:r>
    </w:p>
    <w:p w14:paraId="35829A47" w14:textId="77777777" w:rsidR="00F54FDF" w:rsidRPr="00F54FDF" w:rsidRDefault="00F54FDF" w:rsidP="00F54FDF">
      <w:r w:rsidRPr="00F54FDF">
        <w:t>3.1. Model RACI dla decyzji cenowych</w:t>
      </w:r>
      <w:r w:rsidRPr="00F54FDF">
        <w:br/>
        <w:t>3.2. Proces akceptacji cen i rabatów – poziomy decyzyjne</w:t>
      </w:r>
      <w:r w:rsidRPr="00F54FDF">
        <w:br/>
        <w:t>3.3. Eskalacje cenowe – zasady i wyjątki od polityki</w:t>
      </w:r>
    </w:p>
    <w:p w14:paraId="6E656870" w14:textId="77777777" w:rsidR="00F54FDF" w:rsidRPr="00F54FDF" w:rsidRDefault="00F54FDF" w:rsidP="00F54FDF">
      <w:r w:rsidRPr="00F54FDF">
        <w:t>3.4. Ryzyka operacyjne i sposoby ich minimalizacji</w:t>
      </w:r>
    </w:p>
    <w:p w14:paraId="436477F0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4. Mechanizmy i narzędzia cenowe</w:t>
      </w:r>
    </w:p>
    <w:p w14:paraId="005A17B8" w14:textId="77777777" w:rsidR="00F54FDF" w:rsidRPr="00F54FDF" w:rsidRDefault="00F54FDF" w:rsidP="00F54FDF">
      <w:r w:rsidRPr="00F54FDF">
        <w:t>4.1. Cenniki bazowe – konstrukcja i aktualizacja</w:t>
      </w:r>
      <w:r w:rsidRPr="00F54FDF">
        <w:br/>
        <w:t xml:space="preserve">4.2. Cenniki dedykowane i ich zastosowanie </w:t>
      </w:r>
      <w:r w:rsidRPr="00F54FDF">
        <w:br/>
        <w:t>4.3. Benchmarki cenowe i analiza konkurencji: metodyka, źródła danych i aspekty prawne dot. zbierania informacji</w:t>
      </w:r>
    </w:p>
    <w:p w14:paraId="1B4CA60B" w14:textId="77777777" w:rsidR="00F54FDF" w:rsidRPr="00F54FDF" w:rsidRDefault="00F54FDF" w:rsidP="00F54FDF">
      <w:r w:rsidRPr="00F54FDF">
        <w:t>4.4. Mechanizmy kanałowe – różnicowanie cen w zależności od dystrybucji</w:t>
      </w:r>
      <w:r w:rsidRPr="00F54FDF">
        <w:br/>
        <w:t>4.5. Oferty SPOT i TERM</w:t>
      </w:r>
      <w:r w:rsidRPr="00F54FDF">
        <w:br/>
        <w:t>4.6. Pricing w sytuacjach niestandardowych</w:t>
      </w:r>
      <w:r w:rsidRPr="00F54FDF">
        <w:br/>
        <w:t>4.7. Symulacje marż</w:t>
      </w:r>
      <w:r w:rsidRPr="00F54FDF">
        <w:br/>
        <w:t>4.8. KPI pricingowe</w:t>
      </w:r>
    </w:p>
    <w:p w14:paraId="668AB050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5. Polityka cenowa na rynkach zagranicznych</w:t>
      </w:r>
    </w:p>
    <w:p w14:paraId="719ADDC0" w14:textId="77777777" w:rsidR="00F54FDF" w:rsidRPr="00F54FDF" w:rsidRDefault="00F54FDF" w:rsidP="00F54FDF">
      <w:r w:rsidRPr="00F54FDF">
        <w:t>5.1. Różnice w konstrukcji cen kraj–eksport</w:t>
      </w:r>
      <w:r w:rsidRPr="00F54FDF">
        <w:br/>
        <w:t>5.2. Specyfika regionalna rynków międzynarodowych</w:t>
      </w:r>
      <w:r w:rsidRPr="00F54FDF">
        <w:br/>
      </w:r>
      <w:r w:rsidRPr="00F54FDF">
        <w:lastRenderedPageBreak/>
        <w:t>5.3. Kursy walut – ryzyka, korytarze walutowe, zasady indeksacji cen</w:t>
      </w:r>
      <w:r w:rsidRPr="00F54FDF">
        <w:br/>
        <w:t>5.4. Konkurencyjność międzynarodowa – modele porównawcze</w:t>
      </w:r>
    </w:p>
    <w:p w14:paraId="5D3A1625" w14:textId="77777777" w:rsidR="00F54FDF" w:rsidRPr="00F54FDF" w:rsidRDefault="00F54FDF" w:rsidP="00F54FDF">
      <w:r w:rsidRPr="00F54FDF">
        <w:t>5.5. Zarządzanie cennikami regionalnymi i integracja z globalną polityką cenową</w:t>
      </w:r>
    </w:p>
    <w:p w14:paraId="18706BFA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6. Promocje i warunki handlowe</w:t>
      </w:r>
    </w:p>
    <w:p w14:paraId="2BEB03D4" w14:textId="77777777" w:rsidR="00F54FDF" w:rsidRPr="00F54FDF" w:rsidRDefault="00F54FDF" w:rsidP="00F54FDF">
      <w:r w:rsidRPr="00F54FDF">
        <w:t xml:space="preserve">6.1. Zasady konstruowania warunków handlowych – macierze </w:t>
      </w:r>
      <w:r w:rsidRPr="00F54FDF">
        <w:br/>
        <w:t>6.2. Analiza rabatów i warunków klienta</w:t>
      </w:r>
      <w:r w:rsidRPr="00F54FDF">
        <w:br/>
        <w:t>6.3. Promocje cenowe, promocje bez obniżania ceny</w:t>
      </w:r>
      <w:r w:rsidRPr="00F54FDF">
        <w:br/>
        <w:t>6.4. Psychologiczne progi cenowe i pakiety</w:t>
      </w:r>
      <w:r w:rsidRPr="00F54FDF">
        <w:br/>
        <w:t>6.5. Mechanizmy kontraktowania długoterminowego</w:t>
      </w:r>
    </w:p>
    <w:p w14:paraId="71FEA3B8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7. Komunikacja cenowa w organizacji</w:t>
      </w:r>
    </w:p>
    <w:p w14:paraId="50DBC387" w14:textId="77777777" w:rsidR="00F54FDF" w:rsidRPr="00F54FDF" w:rsidRDefault="00F54FDF" w:rsidP="00F54FDF">
      <w:r w:rsidRPr="00F54FDF">
        <w:t>7.1. Workflow zmian cen– kto, co, kiedy komunikuje</w:t>
      </w:r>
      <w:r w:rsidRPr="00F54FDF">
        <w:br/>
        <w:t>7.2. Współpraca między działami Sprzedaż – Marketing – Controlling – Produkcja – Logistyka</w:t>
      </w:r>
      <w:r w:rsidRPr="00F54FDF">
        <w:br/>
        <w:t>7.3. Dane potrzebne w procesie decyzyjnym</w:t>
      </w:r>
      <w:r w:rsidRPr="00F54FDF">
        <w:br/>
        <w:t>7.4. Standardy raportowania rynków i konkurencji</w:t>
      </w:r>
      <w:r w:rsidRPr="00F54FDF">
        <w:br/>
        <w:t>7.5. Pricing compliance– regulacje antymonopolowe, przejrzystość warunków</w:t>
      </w:r>
    </w:p>
    <w:p w14:paraId="19E8EB49" w14:textId="77777777" w:rsidR="00F54FDF" w:rsidRPr="00F54FDF" w:rsidRDefault="00F54FDF" w:rsidP="00F54FDF">
      <w:r w:rsidRPr="00F54FDF">
        <w:t>7.6. Przepływ informacji i decyzji cenowych w modelu ustalania cen scentralizowanym i zdecentralizowanym.</w:t>
      </w:r>
    </w:p>
    <w:p w14:paraId="17970FD0" w14:textId="77777777" w:rsidR="00F54FDF" w:rsidRPr="00F54FDF" w:rsidRDefault="00F54FDF" w:rsidP="00F54FDF"/>
    <w:p w14:paraId="19464C32" w14:textId="6CBB1E1C" w:rsidR="00F54FDF" w:rsidRPr="00F54FDF" w:rsidRDefault="00F54FDF" w:rsidP="00F54FDF">
      <w:r w:rsidRPr="00F54FD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7AAD5" wp14:editId="074B3E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1777451" name="Prostokąt 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E25A19" id="Prostokąt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 w:rsidRPr="00F54FDF">
        <w:t>Model scentraliozowany mam tu na myśli dedykowane biuro pricingu które podejmuje decyzji i komunikuje ceny.</w:t>
      </w:r>
    </w:p>
    <w:p w14:paraId="38E5E565" w14:textId="77777777" w:rsidR="00F54FDF" w:rsidRPr="00F54FDF" w:rsidRDefault="00F54FDF" w:rsidP="00F54FDF">
      <w:r w:rsidRPr="00F54FDF">
        <w:t>Model zdecentralizowany tutaj chodzi mi o model gdzie kanały dystrybucji podejmują decyzji cenowych osobno i komunikują.</w:t>
      </w:r>
    </w:p>
    <w:p w14:paraId="669E1540" w14:textId="77777777" w:rsidR="00F54FDF" w:rsidRPr="00F54FDF" w:rsidRDefault="00F54FDF" w:rsidP="00F54FDF"/>
    <w:p w14:paraId="59A235FA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8. Narzędzia cyfrowe i digital pricing - opcjonalnie</w:t>
      </w:r>
    </w:p>
    <w:p w14:paraId="3EFDB015" w14:textId="77777777" w:rsidR="00F54FDF" w:rsidRPr="00F54FDF" w:rsidRDefault="00F54FDF" w:rsidP="00F54FDF">
      <w:r w:rsidRPr="00F54FDF">
        <w:t>8.1. Rola SFA i CRM w polityce cenowej – segmentacja, elasticities, rekomendacje</w:t>
      </w:r>
    </w:p>
    <w:p w14:paraId="2558DD90" w14:textId="77777777" w:rsidR="00F54FDF" w:rsidRPr="00F54FDF" w:rsidRDefault="00F54FDF" w:rsidP="00F54FDF">
      <w:r w:rsidRPr="00F54FDF">
        <w:t>8.2. Struktura cenników – architektura danych i wersjonowanie</w:t>
      </w:r>
    </w:p>
    <w:p w14:paraId="5D389F2C" w14:textId="77777777" w:rsidR="00F54FDF" w:rsidRPr="00F54FDF" w:rsidRDefault="00F54FDF" w:rsidP="00F54FDF">
      <w:r w:rsidRPr="00F54FDF">
        <w:t>8.3. Integracja z SAP / ERP – przepływ danych cenowych</w:t>
      </w:r>
    </w:p>
    <w:p w14:paraId="603F4E39" w14:textId="77777777" w:rsidR="00F54FDF" w:rsidRPr="00F54FDF" w:rsidRDefault="00F54FDF" w:rsidP="00F54FDF">
      <w:r w:rsidRPr="00F54FDF">
        <w:t>8.4. Automatyzacja pricingowa – podstawy, przyszłe kierunki rozwoju</w:t>
      </w:r>
    </w:p>
    <w:p w14:paraId="77A8C87B" w14:textId="77777777" w:rsidR="00F54FDF" w:rsidRPr="00F54FDF" w:rsidRDefault="00F54FDF" w:rsidP="00F54FDF">
      <w:r w:rsidRPr="00F54FDF">
        <w:t>8.5. Checklista cenowa – wzorzec dla zespołów handlowych</w:t>
      </w:r>
    </w:p>
    <w:p w14:paraId="2120067B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9. Cena z perspektywy klienta i działu sprzedaży - opcjonalnie</w:t>
      </w:r>
    </w:p>
    <w:p w14:paraId="64A55075" w14:textId="77777777" w:rsidR="00F54FDF" w:rsidRPr="00F54FDF" w:rsidRDefault="00F54FDF" w:rsidP="00F54FDF">
      <w:r w:rsidRPr="00F54FDF">
        <w:t>9.1. Psychologia ceny – percepcja wartości i wrażliwość cenowa</w:t>
      </w:r>
    </w:p>
    <w:p w14:paraId="350C860D" w14:textId="77777777" w:rsidR="00F54FDF" w:rsidRPr="00F54FDF" w:rsidRDefault="00F54FDF" w:rsidP="00F54FDF">
      <w:r w:rsidRPr="00F54FDF">
        <w:t>9.2. Value Selling – argumentacja wartości i przewagi</w:t>
      </w:r>
    </w:p>
    <w:p w14:paraId="3C7F69A1" w14:textId="77777777" w:rsidR="00F54FDF" w:rsidRPr="00F54FDF" w:rsidRDefault="00F54FDF" w:rsidP="00F54FDF">
      <w:r w:rsidRPr="00F54FDF">
        <w:t>9.3. Komunikacja ceny w B2B – język korzyści i liczby</w:t>
      </w:r>
    </w:p>
    <w:p w14:paraId="7F041535" w14:textId="77777777" w:rsidR="00F54FDF" w:rsidRPr="00F54FDF" w:rsidRDefault="00F54FDF" w:rsidP="00F54FDF">
      <w:r w:rsidRPr="00F54FDF">
        <w:t>9.4. Obrona ceny – techniki, scenariusze, przykłady dialogów</w:t>
      </w:r>
    </w:p>
    <w:p w14:paraId="5AAE9CA5" w14:textId="77777777" w:rsidR="00F54FDF" w:rsidRPr="00F54FDF" w:rsidRDefault="00F54FDF" w:rsidP="00F54FDF">
      <w:r w:rsidRPr="00F54FDF">
        <w:t>9.5. Praca z obiekcjami cenowymi</w:t>
      </w:r>
    </w:p>
    <w:p w14:paraId="77BC52A9" w14:textId="77777777" w:rsidR="00F54FDF" w:rsidRPr="00F54FDF" w:rsidRDefault="00F54FDF" w:rsidP="00F54FDF">
      <w:r w:rsidRPr="00F54FDF">
        <w:lastRenderedPageBreak/>
        <w:t>9.6. Budowanie narracji wartości w sprzedaży</w:t>
      </w:r>
    </w:p>
    <w:p w14:paraId="0EBC0CBE" w14:textId="77777777" w:rsidR="00F54FDF" w:rsidRPr="00F54FDF" w:rsidRDefault="00F54FDF" w:rsidP="00F54FDF">
      <w:pPr>
        <w:rPr>
          <w:b/>
          <w:bCs/>
        </w:rPr>
      </w:pPr>
      <w:r w:rsidRPr="00F54FDF">
        <w:rPr>
          <w:b/>
          <w:bCs/>
        </w:rPr>
        <w:t>10. Warsztat praktyczny</w:t>
      </w:r>
    </w:p>
    <w:p w14:paraId="5F418580" w14:textId="77777777" w:rsidR="00F54FDF" w:rsidRPr="00F54FDF" w:rsidRDefault="00F54FDF" w:rsidP="00F54FDF">
      <w:r w:rsidRPr="00F54FDF">
        <w:t>10.1. Budowa modelu polityki cenowej dla wybranych kanałów i produktów</w:t>
      </w:r>
    </w:p>
    <w:p w14:paraId="6FAB6D58" w14:textId="77777777" w:rsidR="00F54FDF" w:rsidRPr="00F54FDF" w:rsidRDefault="00F54FDF" w:rsidP="00F54FDF">
      <w:r w:rsidRPr="00F54FDF">
        <w:t>10.2. Tworzenie cennika bazowego i dedykowanego – krok po kroku</w:t>
      </w:r>
    </w:p>
    <w:p w14:paraId="1E8EADC0" w14:textId="77777777" w:rsidR="00F54FDF" w:rsidRPr="00F54FDF" w:rsidRDefault="00F54FDF" w:rsidP="00F54FDF">
      <w:r w:rsidRPr="00F54FDF">
        <w:t>10.3. Symulacje wpływu zmian cen na marżę i wolumen</w:t>
      </w:r>
    </w:p>
    <w:p w14:paraId="62AC5E10" w14:textId="77777777" w:rsidR="00F54FDF" w:rsidRPr="00F54FDF" w:rsidRDefault="00F54FDF" w:rsidP="00F54FDF">
      <w:r w:rsidRPr="00F54FDF">
        <w:t>10.4. Ustalanie ceny nowego produktu</w:t>
      </w:r>
    </w:p>
    <w:p w14:paraId="09A17850" w14:textId="77777777" w:rsidR="00F54FDF" w:rsidRPr="00F54FDF" w:rsidRDefault="00F54FDF" w:rsidP="00F54FDF">
      <w:r w:rsidRPr="00F54FDF">
        <w:t>10.5. Analiza rzeczywistych scenariuszy cenowych – błędy i optymalizacje</w:t>
      </w:r>
    </w:p>
    <w:p w14:paraId="12914924" w14:textId="77777777" w:rsidR="00F54FDF" w:rsidRPr="00F54FDF" w:rsidRDefault="00F54FDF" w:rsidP="00F54FDF">
      <w:r w:rsidRPr="00F54FDF">
        <w:t>10.6. Opracowanie finalnych rekomendacji pricingowych dla OOIL</w:t>
      </w:r>
    </w:p>
    <w:p w14:paraId="448183A4" w14:textId="77777777" w:rsidR="002D262F" w:rsidRDefault="002D262F"/>
    <w:sectPr w:rsidR="002D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30AB"/>
    <w:multiLevelType w:val="multilevel"/>
    <w:tmpl w:val="B872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9888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FDF"/>
    <w:rsid w:val="002D262F"/>
    <w:rsid w:val="003A4251"/>
    <w:rsid w:val="0042079E"/>
    <w:rsid w:val="0044170C"/>
    <w:rsid w:val="004B1F09"/>
    <w:rsid w:val="00542E9D"/>
    <w:rsid w:val="006431D9"/>
    <w:rsid w:val="00CA47F2"/>
    <w:rsid w:val="00E2697F"/>
    <w:rsid w:val="00F3661F"/>
    <w:rsid w:val="00F54FDF"/>
    <w:rsid w:val="00F8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2E94"/>
  <w15:chartTrackingRefBased/>
  <w15:docId w15:val="{6574C3C8-6747-4CED-980E-CACC5A7C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4F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F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FD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F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FD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F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F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F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F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FD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F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FD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FD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FD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F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F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F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F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F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F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F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F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F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F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FD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FD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FD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FD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467</Words>
  <Characters>3475</Characters>
  <Application>Microsoft Office Word</Application>
  <DocSecurity>0</DocSecurity>
  <Lines>58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Andrzejewska-Ptasznik Agata (OIL)</dc:creator>
  <cp:keywords/>
  <dc:description/>
  <cp:lastModifiedBy>Telega Jacek (OIL)</cp:lastModifiedBy>
  <cp:revision>3</cp:revision>
  <dcterms:created xsi:type="dcterms:W3CDTF">2026-05-22T04:59:00Z</dcterms:created>
  <dcterms:modified xsi:type="dcterms:W3CDTF">2026-05-22T07:42:00Z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2026-05-22T04:59:10Z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f360c16b-4680-47e9-93dc-6ebe51f1b47f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